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F8" w:rsidRPr="00F36FF8" w:rsidRDefault="00F36FF8" w:rsidP="00F36FF8">
      <w:pPr>
        <w:spacing w:before="300" w:after="300" w:line="648" w:lineRule="atLeast"/>
        <w:jc w:val="center"/>
        <w:outlineLvl w:val="0"/>
        <w:rPr>
          <w:rFonts w:ascii="&amp;quot" w:eastAsia="Times New Roman" w:hAnsi="&amp;quot" w:cs="Times New Roman"/>
          <w:color w:val="0066AC"/>
          <w:kern w:val="36"/>
          <w:sz w:val="54"/>
          <w:szCs w:val="54"/>
          <w:lang w:eastAsia="ru-RU"/>
        </w:rPr>
      </w:pPr>
      <w:r w:rsidRPr="00F36FF8">
        <w:rPr>
          <w:rFonts w:ascii="&amp;quot" w:eastAsia="Times New Roman" w:hAnsi="&amp;quot" w:cs="Times New Roman"/>
          <w:color w:val="0066AC"/>
          <w:kern w:val="36"/>
          <w:sz w:val="54"/>
          <w:szCs w:val="54"/>
          <w:lang w:eastAsia="ru-RU"/>
        </w:rPr>
        <w:t>Положение</w:t>
      </w:r>
    </w:p>
    <w:p w:rsidR="00F36FF8" w:rsidRPr="00F36FF8" w:rsidRDefault="00F36FF8" w:rsidP="00F36FF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 </w:t>
      </w:r>
      <w:r w:rsidRPr="00F36FF8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163830</wp:posOffset>
            </wp:positionV>
            <wp:extent cx="7572375" cy="3124200"/>
            <wp:effectExtent l="0" t="0" r="9525" b="0"/>
            <wp:wrapSquare wrapText="bothSides"/>
            <wp:docPr id="1" name="Рисунок 1" descr="http://www.metroshka.ru/media/upload/attachment/source/dlya-sajta-110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roshka.ru/media/upload/attachment/source/dlya-sajta-1104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6FF8">
        <w:rPr>
          <w:rFonts w:ascii="Arial" w:eastAsia="Times New Roman" w:hAnsi="Arial" w:cs="Arial"/>
          <w:color w:val="000000"/>
          <w:lang w:eastAsia="ru-RU"/>
        </w:rPr>
        <w:t> </w:t>
      </w:r>
    </w:p>
    <w:p w:rsidR="00F36FF8" w:rsidRPr="00F36FF8" w:rsidRDefault="00F36FF8" w:rsidP="00F36FF8">
      <w:pPr>
        <w:spacing w:after="0" w:line="37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1. Цели фестиваля</w:t>
      </w:r>
    </w:p>
    <w:p w:rsidR="00F36FF8" w:rsidRPr="00F36FF8" w:rsidRDefault="00F36FF8" w:rsidP="00F36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Популяризации дворового футбола и привлечение детей к здоровому образу жизни.</w:t>
      </w:r>
    </w:p>
    <w:p w:rsidR="00F36FF8" w:rsidRPr="00F36FF8" w:rsidRDefault="00F36FF8" w:rsidP="00F36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Воспитание молодого поколения физически здоровыми и социально ответственными людьми посредством занятия спортом.</w:t>
      </w:r>
    </w:p>
    <w:p w:rsidR="00F36FF8" w:rsidRPr="00F36FF8" w:rsidRDefault="00F36FF8" w:rsidP="00F36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Развитие детского футбола, повышение его роли во всестороннем развитии личности и патриотическом воспитании среди детей.</w:t>
      </w:r>
    </w:p>
    <w:p w:rsidR="00F36FF8" w:rsidRPr="00F36FF8" w:rsidRDefault="00F36FF8" w:rsidP="00F36F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Формирование и укрепление дружеских связей и сотрудничества в области развития футбола между различными субъектами Российской Федерации.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2. Руководство соревнований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Общее руководство организацией фестиваля осуществляется Оргкомитетом. В своей работе он руководствуется настоящим положением, его целями и задачами.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3. Время, место проведения и участники фестиваля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 xml:space="preserve">Соревнования проводятся в городах Челябинской области (Аша, </w:t>
      </w:r>
      <w:proofErr w:type="spellStart"/>
      <w:r w:rsidRPr="00F36FF8">
        <w:rPr>
          <w:rFonts w:ascii="Arial" w:eastAsia="Times New Roman" w:hAnsi="Arial" w:cs="Arial"/>
          <w:color w:val="000000"/>
          <w:lang w:eastAsia="ru-RU"/>
        </w:rPr>
        <w:t>Южноуральск</w:t>
      </w:r>
      <w:proofErr w:type="spellEnd"/>
      <w:r w:rsidRPr="00F36FF8">
        <w:rPr>
          <w:rFonts w:ascii="Arial" w:eastAsia="Times New Roman" w:hAnsi="Arial" w:cs="Arial"/>
          <w:color w:val="000000"/>
          <w:lang w:eastAsia="ru-RU"/>
        </w:rPr>
        <w:t xml:space="preserve">, Кыштым, </w:t>
      </w:r>
      <w:proofErr w:type="spellStart"/>
      <w:r w:rsidRPr="00F36FF8">
        <w:rPr>
          <w:rFonts w:ascii="Arial" w:eastAsia="Times New Roman" w:hAnsi="Arial" w:cs="Arial"/>
          <w:color w:val="000000"/>
          <w:lang w:eastAsia="ru-RU"/>
        </w:rPr>
        <w:t>Сатка</w:t>
      </w:r>
      <w:proofErr w:type="spellEnd"/>
      <w:r w:rsidRPr="00F36FF8">
        <w:rPr>
          <w:rFonts w:ascii="Arial" w:eastAsia="Times New Roman" w:hAnsi="Arial" w:cs="Arial"/>
          <w:color w:val="000000"/>
          <w:lang w:eastAsia="ru-RU"/>
        </w:rPr>
        <w:t xml:space="preserve">, Трехгорный, Коркино, Копейск, Троицк, </w:t>
      </w:r>
      <w:proofErr w:type="spellStart"/>
      <w:r w:rsidRPr="00F36FF8">
        <w:rPr>
          <w:rFonts w:ascii="Arial" w:eastAsia="Times New Roman" w:hAnsi="Arial" w:cs="Arial"/>
          <w:color w:val="000000"/>
          <w:lang w:eastAsia="ru-RU"/>
        </w:rPr>
        <w:t>Снежинск</w:t>
      </w:r>
      <w:proofErr w:type="spellEnd"/>
      <w:r w:rsidRPr="00F36FF8">
        <w:rPr>
          <w:rFonts w:ascii="Arial" w:eastAsia="Times New Roman" w:hAnsi="Arial" w:cs="Arial"/>
          <w:color w:val="000000"/>
          <w:lang w:eastAsia="ru-RU"/>
        </w:rPr>
        <w:t>, Карталы, Миасс, Еманжелинск, Челябинск, Златоуст, Верхнеуральск), Республики Башкортостан (Сибай, Учалы), Свердловской области (Полевской, Каменск-Уральский), Курганской области (Шадринск), Оренбургской области (Орск).</w:t>
      </w: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Первый этап: </w:t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с 12 мая – 24 июня 2018; с 15 августа по 2 сентября 2018 г. в каждом городе проходят отборочные игры в двух возрастных группах (2005-2006, 2007-2008 </w:t>
      </w:r>
      <w:proofErr w:type="spellStart"/>
      <w:r w:rsidRPr="00F36FF8">
        <w:rPr>
          <w:rFonts w:ascii="Arial" w:eastAsia="Times New Roman" w:hAnsi="Arial" w:cs="Arial"/>
          <w:color w:val="000000"/>
          <w:lang w:eastAsia="ru-RU"/>
        </w:rPr>
        <w:t>гг.р</w:t>
      </w:r>
      <w:proofErr w:type="spellEnd"/>
      <w:r w:rsidRPr="00F36FF8">
        <w:rPr>
          <w:rFonts w:ascii="Arial" w:eastAsia="Times New Roman" w:hAnsi="Arial" w:cs="Arial"/>
          <w:color w:val="000000"/>
          <w:lang w:eastAsia="ru-RU"/>
        </w:rPr>
        <w:t xml:space="preserve">.). </w:t>
      </w: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Второй этап:</w:t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 13 - 16 сентября 2018 г. в г. ЧЕЛЯБИНСК победители в своих возрастных группах из каждого города разыгрывают главный приз – СУПЕРКУБОК «Метрошка-2018» (см. Положение «СУПЕРКУБОК «Метрошка-2018»»).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График соревнований: 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u w:val="single"/>
          <w:lang w:eastAsia="ru-RU"/>
        </w:rPr>
        <w:t xml:space="preserve">Отборочные </w:t>
      </w:r>
      <w:proofErr w:type="gramStart"/>
      <w:r w:rsidRPr="00F36FF8">
        <w:rPr>
          <w:rFonts w:ascii="Arial" w:eastAsia="Times New Roman" w:hAnsi="Arial" w:cs="Arial"/>
          <w:color w:val="000000"/>
          <w:u w:val="single"/>
          <w:lang w:eastAsia="ru-RU"/>
        </w:rPr>
        <w:t>игры:</w:t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   </w:t>
      </w:r>
      <w:proofErr w:type="gramEnd"/>
      <w:r w:rsidRPr="00F36FF8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 12 мая – 24 июня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15 августа – 2 сентября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u w:val="single"/>
          <w:lang w:eastAsia="ru-RU"/>
        </w:rPr>
        <w:t xml:space="preserve">СУПЕРКУБОК в г. </w:t>
      </w:r>
      <w:proofErr w:type="gramStart"/>
      <w:r w:rsidRPr="00F36FF8">
        <w:rPr>
          <w:rFonts w:ascii="Arial" w:eastAsia="Times New Roman" w:hAnsi="Arial" w:cs="Arial"/>
          <w:color w:val="000000"/>
          <w:u w:val="single"/>
          <w:lang w:eastAsia="ru-RU"/>
        </w:rPr>
        <w:t>Челябинск</w:t>
      </w:r>
      <w:r w:rsidRPr="00F36FF8">
        <w:rPr>
          <w:rFonts w:ascii="Arial" w:eastAsia="Times New Roman" w:hAnsi="Arial" w:cs="Arial"/>
          <w:color w:val="000000"/>
          <w:lang w:eastAsia="ru-RU"/>
        </w:rPr>
        <w:t>:   </w:t>
      </w:r>
      <w:proofErr w:type="gramEnd"/>
      <w:r w:rsidRPr="00F36FF8">
        <w:rPr>
          <w:rFonts w:ascii="Arial" w:eastAsia="Times New Roman" w:hAnsi="Arial" w:cs="Arial"/>
          <w:color w:val="000000"/>
          <w:lang w:eastAsia="ru-RU"/>
        </w:rPr>
        <w:t xml:space="preserve">                                                           13 – 16 сентября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4. Условия проведения игр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Игры проходят на мини-футбольных площадках.</w:t>
      </w:r>
    </w:p>
    <w:p w:rsid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Размеры футбольного поля: </w:t>
      </w:r>
    </w:p>
    <w:p w:rsid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u w:val="single"/>
          <w:lang w:eastAsia="ru-RU"/>
        </w:rPr>
        <w:t>Длина:</w:t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 минимум 35 м, максимум 45 м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u w:val="single"/>
          <w:lang w:eastAsia="ru-RU"/>
        </w:rPr>
        <w:t>Ширина:</w:t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 минимум 15 м, максимум 25 м 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Продолжительность матча составляет 30 минут (2 тайма по 15 минут, перерыв между таймами – 5 минут). Разрешено, с учетом остановок, продление матча не более чем на 2 минуты. По решению судейской коллегии длительность матча может быть сокращена по причине экстремальных погодных условий (жара, резкое понижение температуры воздуха, град, ливень и т.д.). Минимальная продолжительность тайма в таком случае – 10 минут. Либо матч может быть приостановлен до улучшения погодных условий.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Главному судье запрещается начинать матч в случае отсутствия на стадионе медицинского работника или автомобиля «Скорой помощи».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  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Игровой состав команд 6 человек (1 вратарь и 5 полевых игроков). Количество замен не ограничено, разрешены обратные замены. За победу дается </w:t>
      </w: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3 очка</w:t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, за ничью – </w:t>
      </w: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1 очко</w:t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, за поражение – </w:t>
      </w: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 xml:space="preserve">0 очков. </w:t>
      </w:r>
      <w:r w:rsidRPr="00F36FF8">
        <w:rPr>
          <w:rFonts w:ascii="Arial" w:eastAsia="Times New Roman" w:hAnsi="Arial" w:cs="Arial"/>
          <w:color w:val="000000"/>
          <w:lang w:eastAsia="ru-RU"/>
        </w:rPr>
        <w:t>В случае неявки на игру команде засчитывается поражение со счетом 0:5.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Судья матча в случае неявки команды обязан по истечении 20 минут с момента официально объявленного времени начала матча заполнить протокол и незамедлительно сообщить об этом главному судье.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«МЛАДШАЯ ГРУППА».</w:t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 В ней участвуют </w:t>
      </w: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дети 2007-2008 </w:t>
      </w:r>
      <w:proofErr w:type="spellStart"/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гг.р</w:t>
      </w:r>
      <w:proofErr w:type="spellEnd"/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 и младше. Обязательное условие – игроки участвуют в игровых майках, предоставленных организаторами фестиваля. При нарушении возрастного ограничения и не соблюдении игровой формы команде во всех матчах, сыгранных с нарушением настоящего положения, засчитывается поражение со счетом 0:5.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«СТАРШАЯ ГРУППА».</w:t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 В ней участвуют </w:t>
      </w: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дети 2005-2006 </w:t>
      </w:r>
      <w:proofErr w:type="spellStart"/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гг.р</w:t>
      </w:r>
      <w:proofErr w:type="spellEnd"/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F36FF8">
        <w:rPr>
          <w:rFonts w:ascii="Arial" w:eastAsia="Times New Roman" w:hAnsi="Arial" w:cs="Arial"/>
          <w:color w:val="000000"/>
          <w:lang w:eastAsia="ru-RU"/>
        </w:rPr>
        <w:t xml:space="preserve"> и младше. Обязательное условие – игроки участвуют в игровых майках, предоставленных организаторами фестиваля. При нарушении возрастного ограничения и не соблюдении игровой формы </w:t>
      </w:r>
      <w:r w:rsidRPr="00F36FF8">
        <w:rPr>
          <w:rFonts w:ascii="Arial" w:eastAsia="Times New Roman" w:hAnsi="Arial" w:cs="Arial"/>
          <w:color w:val="000000"/>
          <w:lang w:eastAsia="ru-RU"/>
        </w:rPr>
        <w:lastRenderedPageBreak/>
        <w:t>команде во всех матчах, сыгранных с нарушением настоящего положения, засчитывается поражение со счетом 0:5.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ОТБОРОЧНЫЕ ИГРЫ.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Если в группе количество команд 7 (семь) и менее: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Соревнования проходят по круговой системе. Каждая команда играет с каждым соперником один раз.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Если в группе количество команд 8 (восемь) и более: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Команды разбиваются на две подгруппы «А» и «В». В них соревнования проходят по круговой системе. Каждая команда играет с каждым соперником один раз. Команды, занявшие 1-е и 2-е места в подгруппах, выходят в полуфиналы, где определяют победителя и призеров фестиваля.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Схема проведения пол</w:t>
      </w:r>
      <w:r>
        <w:rPr>
          <w:rFonts w:ascii="Arial" w:eastAsia="Times New Roman" w:hAnsi="Arial" w:cs="Arial"/>
          <w:color w:val="000000"/>
          <w:lang w:eastAsia="ru-RU"/>
        </w:rPr>
        <w:t xml:space="preserve">уфиналов и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финалов:   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lang w:eastAsia="ru-RU"/>
        </w:rPr>
        <w:t>Полуфинал1: 1А-2В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Полуфинал2: 1В-2А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Матч за 3-е место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Финал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Возможны другие варианты проведения отборочных игр.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5. Определение победителей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            Победителем становится команда, набравшая наибольшее количество очков. Далее места распределяются в соответствии с набранными очками. Очки, набранные в результате технической победы, учитываются. При равенстве очков у двух и более команд выше стоит команда, у которой: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-    лучший результат в личной встрече;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-    лучшая разница забитых и пропущенных мячей;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-    большее количество побед;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-    если все эти показатели равны, назначается дополнительная серия пенальти</w:t>
      </w:r>
      <w:r w:rsidRPr="00F36FF8">
        <w:rPr>
          <w:rFonts w:ascii="Arial" w:eastAsia="Times New Roman" w:hAnsi="Arial" w:cs="Arial"/>
          <w:color w:val="000000"/>
          <w:lang w:eastAsia="ru-RU"/>
        </w:rPr>
        <w:br/>
        <w:t>(по 3 удара). Если победитель в этой серии не определился, то команды пробивают пенальти до первого промаха. В этом случае допускается пробитие пенальти игроком, который уже исполнял его в основной серии. Количество повторных ударов одним игроком не ограничено.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 xml:space="preserve">-    в плей-офф при ничейном результате в основное время дополнительные таймы не играются. Сразу пробивается серия пенальти (по 3 удара). Если победитель в этой серии не определился, то команды пробивают пенальти до первого промаха. В этом случае </w:t>
      </w:r>
      <w:r w:rsidRPr="00F36FF8">
        <w:rPr>
          <w:rFonts w:ascii="Arial" w:eastAsia="Times New Roman" w:hAnsi="Arial" w:cs="Arial"/>
          <w:color w:val="000000"/>
          <w:lang w:eastAsia="ru-RU"/>
        </w:rPr>
        <w:lastRenderedPageBreak/>
        <w:t>допускается пробитие пенальти игроком, который уже исполнял его в основной серии. Количество повторных ударов одним игроком не ограничено.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6. Судейская коллегия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Судейская коллегия и главный судья утверждается решением Оргкомитета.  Судейские комиссии проводятся в каждом городе за 2 – 3 дня до начала турнира. Количество судей, обслуживающих матчи в обеих группах – 2-4 человека. Каждая отдельная игра обслуживается одним судьей. По решению главного судьи решающие матчи могут обслуживаться двумя судьями.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Спорные вопросы рассматриваются на судейской коллегии с привлечением представителей двух сторон. На всех этапах Фестиваля главный судья соревнований вместе с руководителями команд несет ответственность за соблюдение условий допуска футболистов к матчу.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После окончания матча судья обязан в течение 15 минут оформить протокол матча, подписать его у представителей команд и передать главному судье соревнований.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После окончания последнего игрового дня главный судья обязан в течение суток предоставить оригиналы протоколов ответственному за проведение фестиваля в своем городе. (Приложение 2)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7. Подача заявок</w:t>
      </w:r>
    </w:p>
    <w:p w:rsidR="002F0CC5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            В заявку команды должно входить не более десяти футболистов и один тренер-представитель старше 18 лет. Каждый заявочный лист должен быть заверен врачом. Официально команда является заявленной на соревнования после утверждения заявки. Последний день подачи заявок: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10 мая – 20 июня; 14  - 30 августа 2018 г. (в каждом городе срок подачи заявок устанавливается индивидуально)</w:t>
      </w:r>
      <w:r w:rsidRPr="00F36FF8">
        <w:rPr>
          <w:rFonts w:ascii="Arial" w:eastAsia="Times New Roman" w:hAnsi="Arial" w:cs="Arial"/>
          <w:color w:val="000000"/>
          <w:lang w:eastAsia="ru-RU"/>
        </w:rPr>
        <w:t>.  Заявочные листы сдаются на местах в оргкомитет соревнований. Форма заявочного листа является Приложением №1 к настоящему Положению и его неотъемлемой частью.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 xml:space="preserve">На всех этапах Фестиваля тренеры команд несут полную ответственность за медицинский допуск участников к соревнованиям, за их жизнь и здоровье с момента отъезда на турнир и до возвращения. </w:t>
      </w: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Законные представители детей, заявившихся на турнир, автоматически дают согласие на публикацию их фотографий.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8. Награждение победителей</w:t>
      </w:r>
    </w:p>
    <w:p w:rsidR="00F36FF8" w:rsidRPr="00F36FF8" w:rsidRDefault="00F36FF8" w:rsidP="00F36FF8">
      <w:pPr>
        <w:spacing w:after="0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 xml:space="preserve">            Награждение производится после окончания соревнований. Команды, занявшие 1-е, 2-е и 3-и места по итогам турнира в своих возрастных группах, награждаются кубками, дипломами и ценными призами. В каждой группе определяются четыре лучших игрока: «Лучший вратарь», «Лучший защитник», «Лучший нападающий», «Лучший игрок». Они также награждаются ценными призами и дипломами. Все команды, в </w:t>
      </w:r>
      <w:proofErr w:type="spellStart"/>
      <w:r w:rsidRPr="00F36FF8">
        <w:rPr>
          <w:rFonts w:ascii="Arial" w:eastAsia="Times New Roman" w:hAnsi="Arial" w:cs="Arial"/>
          <w:color w:val="000000"/>
          <w:lang w:eastAsia="ru-RU"/>
        </w:rPr>
        <w:t>т.ч</w:t>
      </w:r>
      <w:proofErr w:type="spellEnd"/>
      <w:r w:rsidRPr="00F36FF8">
        <w:rPr>
          <w:rFonts w:ascii="Arial" w:eastAsia="Times New Roman" w:hAnsi="Arial" w:cs="Arial"/>
          <w:color w:val="000000"/>
          <w:lang w:eastAsia="ru-RU"/>
        </w:rPr>
        <w:t xml:space="preserve">. не занявшие </w:t>
      </w:r>
      <w:r w:rsidRPr="00F36FF8"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призовые места, поощряются специальными подарками и призами. Победители «МЛАДШЕЙ» и «СТАРШЕЙ» возрастных групп из каждого города по итогам отборочных игр получают право на участие в СУПЕРКУБКЕ «Метрошка-2018» в </w:t>
      </w: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г. ЧЕЛЯБИНСК (</w:t>
      </w:r>
      <w:r w:rsidRPr="00F36FF8">
        <w:rPr>
          <w:rFonts w:ascii="Arial" w:eastAsia="Times New Roman" w:hAnsi="Arial" w:cs="Arial"/>
          <w:color w:val="000000"/>
          <w:lang w:eastAsia="ru-RU"/>
        </w:rPr>
        <w:t>см. Положение «СУПЕРКУБОК «Метрошка-2018</w:t>
      </w:r>
      <w:r w:rsidRPr="00F36FF8">
        <w:rPr>
          <w:rFonts w:ascii="Arial" w:eastAsia="Times New Roman" w:hAnsi="Arial" w:cs="Arial"/>
          <w:b/>
          <w:bCs/>
          <w:color w:val="000000"/>
          <w:lang w:eastAsia="ru-RU"/>
        </w:rPr>
        <w:t>9. Финансирование соревнований</w:t>
      </w:r>
    </w:p>
    <w:p w:rsidR="00F36FF8" w:rsidRPr="00F36FF8" w:rsidRDefault="00F36FF8" w:rsidP="00F36FF8">
      <w:pPr>
        <w:spacing w:before="176" w:after="176" w:line="37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            Организационные расходы, награждение команд и лучших игроков производится из призового фонда турнира, который формируется за счет средств спонсоров и партнеров и организаторов фестиваля.</w:t>
      </w:r>
    </w:p>
    <w:p w:rsidR="00F36FF8" w:rsidRPr="00F36FF8" w:rsidRDefault="00F36FF8" w:rsidP="00F36FF8">
      <w:pPr>
        <w:spacing w:before="288" w:after="288" w:line="240" w:lineRule="auto"/>
        <w:jc w:val="both"/>
        <w:outlineLvl w:val="2"/>
        <w:rPr>
          <w:rFonts w:ascii="Arial" w:eastAsia="Times New Roman" w:hAnsi="Arial" w:cs="Arial"/>
          <w:color w:val="0066AC"/>
          <w:sz w:val="36"/>
          <w:szCs w:val="36"/>
          <w:lang w:eastAsia="ru-RU"/>
        </w:rPr>
      </w:pPr>
      <w:proofErr w:type="gramStart"/>
      <w:r w:rsidRPr="00F36FF8">
        <w:rPr>
          <w:rFonts w:ascii="Arial" w:eastAsia="Times New Roman" w:hAnsi="Arial" w:cs="Arial"/>
          <w:color w:val="0066AC"/>
          <w:sz w:val="36"/>
          <w:szCs w:val="36"/>
          <w:lang w:eastAsia="ru-RU"/>
        </w:rPr>
        <w:t>ПАМЯТКА  К</w:t>
      </w:r>
      <w:proofErr w:type="gramEnd"/>
      <w:r w:rsidRPr="00F36FF8">
        <w:rPr>
          <w:rFonts w:ascii="Arial" w:eastAsia="Times New Roman" w:hAnsi="Arial" w:cs="Arial"/>
          <w:color w:val="0066AC"/>
          <w:sz w:val="36"/>
          <w:szCs w:val="36"/>
          <w:lang w:eastAsia="ru-RU"/>
        </w:rPr>
        <w:t xml:space="preserve"> ПРАВИЛАМ</w:t>
      </w:r>
    </w:p>
    <w:p w:rsidR="00F36FF8" w:rsidRPr="00F36FF8" w:rsidRDefault="00F36FF8" w:rsidP="00F36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Вратарю разрешается брать мяч руками после паса своего игрока.</w:t>
      </w:r>
    </w:p>
    <w:p w:rsidR="00F36FF8" w:rsidRPr="00F36FF8" w:rsidRDefault="00F36FF8" w:rsidP="00F36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Вратарь может вводить мяч за среднюю линию поля.</w:t>
      </w:r>
    </w:p>
    <w:p w:rsidR="00F36FF8" w:rsidRPr="00F36FF8" w:rsidRDefault="00F36FF8" w:rsidP="00F36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Применение подкатов запрещено. При подкате назначается свободный штрафной удар.</w:t>
      </w:r>
    </w:p>
    <w:p w:rsidR="00F36FF8" w:rsidRPr="00F36FF8" w:rsidRDefault="00F36FF8" w:rsidP="00F36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При нарушении правил в штрафной площади пробивается 7-метровый удар.</w:t>
      </w:r>
    </w:p>
    <w:p w:rsidR="00F36FF8" w:rsidRPr="00F36FF8" w:rsidRDefault="00F36FF8" w:rsidP="00F36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При ауте мяч вводится в игру ногой с лицевой линии.</w:t>
      </w:r>
    </w:p>
    <w:p w:rsidR="00F36FF8" w:rsidRPr="00F36FF8" w:rsidRDefault="00F36FF8" w:rsidP="00F36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 xml:space="preserve">Мячи, забитые после исполнения свободных ударов, в </w:t>
      </w:r>
      <w:proofErr w:type="spellStart"/>
      <w:r w:rsidRPr="00F36FF8">
        <w:rPr>
          <w:rFonts w:ascii="Arial" w:eastAsia="Times New Roman" w:hAnsi="Arial" w:cs="Arial"/>
          <w:color w:val="000000"/>
          <w:lang w:eastAsia="ru-RU"/>
        </w:rPr>
        <w:t>т.ч</w:t>
      </w:r>
      <w:proofErr w:type="spellEnd"/>
      <w:r w:rsidRPr="00F36FF8">
        <w:rPr>
          <w:rFonts w:ascii="Arial" w:eastAsia="Times New Roman" w:hAnsi="Arial" w:cs="Arial"/>
          <w:color w:val="000000"/>
          <w:lang w:eastAsia="ru-RU"/>
        </w:rPr>
        <w:t>. с аутов, без касания кого-либо, засчитываются, как взятие ворот.</w:t>
      </w:r>
    </w:p>
    <w:p w:rsidR="00F36FF8" w:rsidRPr="00F36FF8" w:rsidRDefault="00F36FF8" w:rsidP="00F36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За две желтые карточки, полученные в одной игре, игрок удаляется с поля, но имеет право принимать участие в следующей игре. Удаление производится с правом замены.</w:t>
      </w:r>
    </w:p>
    <w:p w:rsidR="00F36FF8" w:rsidRPr="00F36FF8" w:rsidRDefault="00F36FF8" w:rsidP="00F36F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При получении красной карточки (грубая игра, оскорбление судьи и т.п.) игрок пропускает следующую игру. Удаление производится с правом замены.</w:t>
      </w:r>
    </w:p>
    <w:p w:rsidR="00F36FF8" w:rsidRPr="00F36FF8" w:rsidRDefault="00F36FF8" w:rsidP="00F36FF8">
      <w:pPr>
        <w:spacing w:before="176" w:after="176" w:line="374" w:lineRule="atLeast"/>
        <w:rPr>
          <w:rFonts w:ascii="Arial" w:eastAsia="Times New Roman" w:hAnsi="Arial" w:cs="Arial"/>
          <w:color w:val="000000"/>
          <w:lang w:eastAsia="ru-RU"/>
        </w:rPr>
      </w:pPr>
      <w:r w:rsidRPr="00F36FF8">
        <w:rPr>
          <w:rFonts w:ascii="Arial" w:eastAsia="Times New Roman" w:hAnsi="Arial" w:cs="Arial"/>
          <w:color w:val="000000"/>
          <w:lang w:eastAsia="ru-RU"/>
        </w:rPr>
        <w:t> </w:t>
      </w:r>
    </w:p>
    <w:p w:rsidR="004945EA" w:rsidRDefault="004945EA"/>
    <w:sectPr w:rsidR="0049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05F7"/>
    <w:multiLevelType w:val="multilevel"/>
    <w:tmpl w:val="EBAE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D3180"/>
    <w:multiLevelType w:val="multilevel"/>
    <w:tmpl w:val="616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F"/>
    <w:rsid w:val="002F0CC5"/>
    <w:rsid w:val="004945EA"/>
    <w:rsid w:val="00BB637F"/>
    <w:rsid w:val="00F3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8FE0"/>
  <w15:chartTrackingRefBased/>
  <w15:docId w15:val="{61A62D97-C3B5-4BB3-93C9-EAA83F44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6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F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2018-07-13T09:29:00Z</cp:lastPrinted>
  <dcterms:created xsi:type="dcterms:W3CDTF">2018-07-13T13:35:00Z</dcterms:created>
  <dcterms:modified xsi:type="dcterms:W3CDTF">2018-07-13T13:35:00Z</dcterms:modified>
</cp:coreProperties>
</file>