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E" w:rsidRPr="005559F9" w:rsidRDefault="0011351E" w:rsidP="0011351E">
      <w:pPr>
        <w:spacing w:after="200" w:line="276" w:lineRule="auto"/>
        <w:ind w:firstLine="0"/>
        <w:jc w:val="right"/>
        <w:rPr>
          <w:szCs w:val="24"/>
        </w:rPr>
      </w:pPr>
      <w:r w:rsidRPr="005559F9">
        <w:rPr>
          <w:szCs w:val="24"/>
        </w:rPr>
        <w:t>Приложение №2</w:t>
      </w:r>
    </w:p>
    <w:p w:rsidR="0011351E" w:rsidRPr="005559F9" w:rsidRDefault="0011351E" w:rsidP="0011351E">
      <w:pPr>
        <w:jc w:val="center"/>
        <w:rPr>
          <w:b/>
          <w:szCs w:val="24"/>
        </w:rPr>
      </w:pPr>
    </w:p>
    <w:p w:rsidR="0011351E" w:rsidRPr="005559F9" w:rsidRDefault="0011351E" w:rsidP="0011351E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11351E" w:rsidRPr="005559F9" w:rsidRDefault="000B3D3B" w:rsidP="006E47F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Муниципальный</w:t>
            </w:r>
            <w:proofErr w:type="gramEnd"/>
            <w:r>
              <w:rPr>
                <w:szCs w:val="24"/>
              </w:rPr>
              <w:t xml:space="preserve"> экологический онлайн-конкурс поделок из бросового материала «Хлам-Арт»</w:t>
            </w: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11351E" w:rsidRPr="005559F9" w:rsidRDefault="000B3D3B" w:rsidP="006E47F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Удомельский</w:t>
            </w:r>
            <w:proofErr w:type="spellEnd"/>
            <w:r>
              <w:rPr>
                <w:szCs w:val="24"/>
              </w:rPr>
              <w:t xml:space="preserve"> городской округ</w:t>
            </w: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11351E" w:rsidRPr="005559F9" w:rsidRDefault="0011351E" w:rsidP="0011351E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11351E" w:rsidRPr="005559F9" w:rsidRDefault="0011351E" w:rsidP="0011351E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BF3A12" w:rsidRPr="005559F9" w:rsidRDefault="000B3D3B" w:rsidP="00BF3A12">
            <w:pPr>
              <w:rPr>
                <w:szCs w:val="24"/>
              </w:rPr>
            </w:pPr>
            <w:r>
              <w:rPr>
                <w:szCs w:val="24"/>
              </w:rPr>
              <w:t xml:space="preserve">Проблемы осознанного потребления и </w:t>
            </w:r>
            <w:proofErr w:type="gramStart"/>
            <w:r>
              <w:rPr>
                <w:szCs w:val="24"/>
              </w:rPr>
              <w:t>утилизации</w:t>
            </w:r>
            <w:proofErr w:type="gramEnd"/>
            <w:r>
              <w:rPr>
                <w:szCs w:val="24"/>
              </w:rPr>
              <w:t xml:space="preserve"> потенциально вредных для экологии материалов с каждым годом становятся всё острее. Один из способов решения этого комплекса проблем – формирование экологической культуры населения. Внедрение практики </w:t>
            </w:r>
            <w:r w:rsidR="0065352D">
              <w:rPr>
                <w:szCs w:val="24"/>
              </w:rPr>
              <w:t xml:space="preserve">переработки бросового материала в предметы быта или арт-объекты даёт вторую жизнь тому, что оказалось бы на свалке и не только увеличило бы количество мусора, но и утяжелило эко-след жителей </w:t>
            </w:r>
            <w:proofErr w:type="spellStart"/>
            <w:r w:rsidR="0065352D">
              <w:rPr>
                <w:szCs w:val="24"/>
              </w:rPr>
              <w:t>Удомельского</w:t>
            </w:r>
            <w:proofErr w:type="spellEnd"/>
            <w:r w:rsidR="0065352D">
              <w:rPr>
                <w:szCs w:val="24"/>
              </w:rPr>
              <w:t xml:space="preserve"> городского округа. Бережное отношение к природе в сочетании с развитием творческих навыков, конечно, проблему не решает, но выводит её на осознаваемый уровень. И это первый шаг к решению более масштабны</w:t>
            </w:r>
            <w:r w:rsidR="00BF3A12">
              <w:rPr>
                <w:szCs w:val="24"/>
              </w:rPr>
              <w:t xml:space="preserve">х задач по сохранению экологии с участием всех возрастных и социальных групп населения </w:t>
            </w:r>
            <w:proofErr w:type="spellStart"/>
            <w:r w:rsidR="00BF3A12">
              <w:rPr>
                <w:szCs w:val="24"/>
              </w:rPr>
              <w:t>Удомельского</w:t>
            </w:r>
            <w:proofErr w:type="spellEnd"/>
            <w:r w:rsidR="00BF3A12">
              <w:rPr>
                <w:szCs w:val="24"/>
              </w:rPr>
              <w:t xml:space="preserve"> городского округа.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11351E" w:rsidRPr="005559F9" w:rsidRDefault="00234347" w:rsidP="0065352D">
            <w:pPr>
              <w:rPr>
                <w:szCs w:val="24"/>
              </w:rPr>
            </w:pPr>
            <w:r>
              <w:rPr>
                <w:szCs w:val="24"/>
              </w:rPr>
              <w:t>Практика реализуется с 2017</w:t>
            </w:r>
            <w:r w:rsidR="0065352D">
              <w:rPr>
                <w:szCs w:val="24"/>
              </w:rPr>
              <w:t xml:space="preserve"> года. В онлайн-формате с 2020-го. Конкурс ежегодный. </w:t>
            </w:r>
          </w:p>
        </w:tc>
      </w:tr>
    </w:tbl>
    <w:p w:rsidR="0011351E" w:rsidRPr="005559F9" w:rsidRDefault="0011351E" w:rsidP="0011351E">
      <w:pPr>
        <w:rPr>
          <w:szCs w:val="24"/>
        </w:rPr>
      </w:pPr>
      <w:bookmarkStart w:id="0" w:name="_GoBack"/>
      <w:bookmarkEnd w:id="0"/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lastRenderedPageBreak/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11351E" w:rsidRPr="005559F9" w:rsidRDefault="008B041C" w:rsidP="008B041C">
            <w:pPr>
              <w:rPr>
                <w:szCs w:val="24"/>
              </w:rPr>
            </w:pPr>
            <w:r>
              <w:rPr>
                <w:szCs w:val="24"/>
              </w:rPr>
              <w:t xml:space="preserve">Численность населения </w:t>
            </w:r>
            <w:proofErr w:type="spellStart"/>
            <w:r>
              <w:rPr>
                <w:szCs w:val="24"/>
              </w:rPr>
              <w:t>Удомельского</w:t>
            </w:r>
            <w:proofErr w:type="spellEnd"/>
            <w:r>
              <w:rPr>
                <w:szCs w:val="24"/>
              </w:rPr>
              <w:t xml:space="preserve"> городского округа составляет чуть больше 34 тыс. человек. В округе отмечена аномально высокая смертность, вдвое превышающая средние значения по РФ. Главное предприятие – Калининская АЭС (по результатам регулярных проверок) не оказывает существенного влияния на экологию. Таким </w:t>
            </w:r>
            <w:proofErr w:type="gramStart"/>
            <w:r>
              <w:rPr>
                <w:szCs w:val="24"/>
              </w:rPr>
              <w:t>образом</w:t>
            </w:r>
            <w:proofErr w:type="gramEnd"/>
            <w:r>
              <w:rPr>
                <w:szCs w:val="24"/>
              </w:rPr>
              <w:t xml:space="preserve"> проблема, скорее всего, лежит в социальной-экономической плоскости – проблемы здравоохранения, ЖКХ и пр.  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8B041C" w:rsidRPr="008B041C" w:rsidRDefault="008B041C" w:rsidP="008B041C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8B041C">
              <w:rPr>
                <w:szCs w:val="24"/>
              </w:rPr>
              <w:t xml:space="preserve">Формирование у населения </w:t>
            </w:r>
            <w:proofErr w:type="spellStart"/>
            <w:r w:rsidRPr="008B041C">
              <w:rPr>
                <w:szCs w:val="24"/>
              </w:rPr>
              <w:t>Удомельского</w:t>
            </w:r>
            <w:proofErr w:type="spellEnd"/>
            <w:r w:rsidRPr="008B041C">
              <w:rPr>
                <w:szCs w:val="24"/>
              </w:rPr>
              <w:t xml:space="preserve"> городского округа </w:t>
            </w:r>
            <w:proofErr w:type="gramStart"/>
            <w:r w:rsidRPr="008B041C">
              <w:rPr>
                <w:szCs w:val="24"/>
              </w:rPr>
              <w:t>экологической</w:t>
            </w:r>
            <w:proofErr w:type="gramEnd"/>
          </w:p>
          <w:p w:rsidR="008B041C" w:rsidRPr="008B041C" w:rsidRDefault="008B041C" w:rsidP="008B041C">
            <w:pPr>
              <w:rPr>
                <w:szCs w:val="24"/>
              </w:rPr>
            </w:pPr>
            <w:r w:rsidRPr="008B041C">
              <w:rPr>
                <w:szCs w:val="24"/>
              </w:rPr>
              <w:t>культуры и осознанного отношения к потреблению и утилизации материалов,</w:t>
            </w:r>
          </w:p>
          <w:p w:rsidR="008B041C" w:rsidRPr="008B041C" w:rsidRDefault="008B041C" w:rsidP="008B041C">
            <w:pPr>
              <w:rPr>
                <w:szCs w:val="24"/>
              </w:rPr>
            </w:pPr>
            <w:r w:rsidRPr="008B041C">
              <w:rPr>
                <w:szCs w:val="24"/>
              </w:rPr>
              <w:t xml:space="preserve">потенциально </w:t>
            </w:r>
            <w:proofErr w:type="gramStart"/>
            <w:r w:rsidRPr="008B041C">
              <w:rPr>
                <w:szCs w:val="24"/>
              </w:rPr>
              <w:t>вредных</w:t>
            </w:r>
            <w:proofErr w:type="gramEnd"/>
            <w:r w:rsidRPr="008B041C">
              <w:rPr>
                <w:szCs w:val="24"/>
              </w:rPr>
              <w:t xml:space="preserve"> для экологии;</w:t>
            </w:r>
          </w:p>
          <w:p w:rsidR="008B041C" w:rsidRDefault="008B041C" w:rsidP="008B041C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8B041C">
              <w:rPr>
                <w:szCs w:val="24"/>
              </w:rPr>
              <w:t xml:space="preserve">Развитие творческих способностей </w:t>
            </w:r>
            <w:r>
              <w:rPr>
                <w:szCs w:val="24"/>
              </w:rPr>
              <w:t>населения</w:t>
            </w:r>
            <w:r w:rsidRPr="008B041C">
              <w:rPr>
                <w:szCs w:val="24"/>
              </w:rPr>
              <w:t>;</w:t>
            </w:r>
          </w:p>
          <w:p w:rsidR="008B041C" w:rsidRPr="008B041C" w:rsidRDefault="008B041C" w:rsidP="008B041C">
            <w:pPr>
              <w:rPr>
                <w:szCs w:val="24"/>
              </w:rPr>
            </w:pPr>
            <w:r>
              <w:rPr>
                <w:szCs w:val="24"/>
              </w:rPr>
              <w:t xml:space="preserve">3. Развитие творческих </w:t>
            </w:r>
            <w:proofErr w:type="spellStart"/>
            <w:r>
              <w:rPr>
                <w:szCs w:val="24"/>
              </w:rPr>
              <w:t>коллабораций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межпоколенческого</w:t>
            </w:r>
            <w:proofErr w:type="spellEnd"/>
            <w:r>
              <w:rPr>
                <w:szCs w:val="24"/>
              </w:rPr>
              <w:t xml:space="preserve"> взаимодействия в решении т</w:t>
            </w:r>
            <w:r w:rsidR="005D0B93">
              <w:rPr>
                <w:szCs w:val="24"/>
              </w:rPr>
              <w:t xml:space="preserve">ворческих и экологических задач. </w:t>
            </w:r>
          </w:p>
          <w:p w:rsidR="008B041C" w:rsidRPr="008B041C" w:rsidRDefault="008B041C" w:rsidP="008B041C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8B041C">
              <w:rPr>
                <w:szCs w:val="24"/>
              </w:rPr>
              <w:t xml:space="preserve">Привлечение жителей округа к участию в формировании </w:t>
            </w:r>
            <w:proofErr w:type="gramStart"/>
            <w:r w:rsidRPr="008B041C">
              <w:rPr>
                <w:szCs w:val="24"/>
              </w:rPr>
              <w:t>комфортной</w:t>
            </w:r>
            <w:proofErr w:type="gramEnd"/>
          </w:p>
          <w:p w:rsidR="0011351E" w:rsidRDefault="005D0B93" w:rsidP="008B041C">
            <w:pPr>
              <w:rPr>
                <w:szCs w:val="24"/>
              </w:rPr>
            </w:pPr>
            <w:r>
              <w:rPr>
                <w:szCs w:val="24"/>
              </w:rPr>
              <w:t>городской среды;</w:t>
            </w:r>
          </w:p>
          <w:p w:rsidR="005D0B93" w:rsidRPr="005559F9" w:rsidRDefault="005D0B93" w:rsidP="008B041C">
            <w:pPr>
              <w:rPr>
                <w:szCs w:val="24"/>
              </w:rPr>
            </w:pPr>
            <w:r>
              <w:rPr>
                <w:szCs w:val="24"/>
              </w:rPr>
              <w:t>5. Формирование сообщества, ориентированного на осознанное отношение к природе в целом и городской среде в частности.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1351E" w:rsidRPr="005559F9" w:rsidTr="006E47F5">
        <w:tc>
          <w:tcPr>
            <w:tcW w:w="993" w:type="dxa"/>
          </w:tcPr>
          <w:p w:rsidR="0011351E" w:rsidRPr="005559F9" w:rsidRDefault="0011351E" w:rsidP="006E47F5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11351E" w:rsidRPr="005559F9" w:rsidTr="006E47F5">
        <w:tc>
          <w:tcPr>
            <w:tcW w:w="993" w:type="dxa"/>
          </w:tcPr>
          <w:p w:rsidR="0011351E" w:rsidRPr="005559F9" w:rsidRDefault="005D0B93" w:rsidP="006E47F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1351E" w:rsidRPr="005559F9" w:rsidRDefault="005D0B93" w:rsidP="005D0B93">
            <w:pPr>
              <w:rPr>
                <w:szCs w:val="24"/>
              </w:rPr>
            </w:pPr>
            <w:r>
              <w:rPr>
                <w:szCs w:val="24"/>
              </w:rPr>
              <w:t>Организационные и творческие  возможности и привлечение человеческих и материальных ресурсов МБУ ГМЦ «Звёздный», путём включения Конкурса  в план работы учреждения.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1351E" w:rsidRPr="005559F9" w:rsidTr="006E47F5">
        <w:tc>
          <w:tcPr>
            <w:tcW w:w="993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11351E" w:rsidRPr="005559F9" w:rsidTr="006E47F5">
        <w:tc>
          <w:tcPr>
            <w:tcW w:w="993" w:type="dxa"/>
          </w:tcPr>
          <w:p w:rsidR="0011351E" w:rsidRPr="005559F9" w:rsidRDefault="005D0B93" w:rsidP="006E47F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1351E" w:rsidRPr="005559F9" w:rsidRDefault="00E80251" w:rsidP="00E8025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Главным принципиальным подходом на сегодняшний день является уход от традиционной офлайн-выставки работ.</w:t>
            </w:r>
            <w:proofErr w:type="gramEnd"/>
            <w:r>
              <w:rPr>
                <w:szCs w:val="24"/>
              </w:rPr>
              <w:t xml:space="preserve"> Создан специальный онлайн-ресурс «Выставочный зал МБУ ГМЦ «Звёздный», и собственно конкурсная часть проводится в онлайн-формате. Награждение победителей, в то же время, проходит офлайн. Обычно участники и победители приглашаются к участию в </w:t>
            </w:r>
            <w:r>
              <w:rPr>
                <w:szCs w:val="24"/>
              </w:rPr>
              <w:lastRenderedPageBreak/>
              <w:t xml:space="preserve">одном из субботников по весенней уборке города, в финале которого проходит торжественная часть с чествованием победителей и участников Конкурса, чаепитием и неформальным творческим общением. </w:t>
            </w:r>
            <w:r w:rsidR="008342E0">
              <w:rPr>
                <w:szCs w:val="24"/>
              </w:rPr>
              <w:t xml:space="preserve">Работы, при этом, остаются у самих участников и продолжают выполнять свою бытовую функцию. Арт-объекты размещаются в городских пространствах или на территории округа. </w:t>
            </w: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11351E" w:rsidRPr="005559F9" w:rsidTr="006E47F5">
        <w:tc>
          <w:tcPr>
            <w:tcW w:w="959" w:type="dxa"/>
            <w:vMerge w:val="restart"/>
            <w:vAlign w:val="center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11351E" w:rsidRPr="005559F9" w:rsidTr="006E47F5">
        <w:tc>
          <w:tcPr>
            <w:tcW w:w="959" w:type="dxa"/>
            <w:vMerge/>
          </w:tcPr>
          <w:p w:rsidR="0011351E" w:rsidRPr="005559F9" w:rsidRDefault="0011351E" w:rsidP="006E47F5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11351E" w:rsidRPr="005559F9" w:rsidRDefault="0011351E" w:rsidP="006E47F5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11351E" w:rsidRPr="005559F9" w:rsidTr="006E47F5">
        <w:tc>
          <w:tcPr>
            <w:tcW w:w="959" w:type="dxa"/>
          </w:tcPr>
          <w:p w:rsidR="0011351E" w:rsidRPr="005559F9" w:rsidRDefault="008342E0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11351E" w:rsidRPr="005559F9" w:rsidRDefault="008342E0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</w:t>
            </w:r>
            <w:r w:rsidR="00D06DD4">
              <w:rPr>
                <w:szCs w:val="24"/>
              </w:rPr>
              <w:t xml:space="preserve"> (без учёта зрителей)</w:t>
            </w:r>
          </w:p>
        </w:tc>
        <w:tc>
          <w:tcPr>
            <w:tcW w:w="2463" w:type="dxa"/>
          </w:tcPr>
          <w:p w:rsidR="0011351E" w:rsidRPr="005559F9" w:rsidRDefault="008342E0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464" w:type="dxa"/>
          </w:tcPr>
          <w:p w:rsidR="0011351E" w:rsidRPr="005559F9" w:rsidRDefault="008342E0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1351E" w:rsidRPr="005559F9" w:rsidRDefault="008342E0" w:rsidP="00BE0D0A">
            <w:pPr>
              <w:rPr>
                <w:szCs w:val="24"/>
              </w:rPr>
            </w:pPr>
            <w:r>
              <w:rPr>
                <w:szCs w:val="24"/>
              </w:rPr>
              <w:t>Кузьмина Аэлита Олеговна</w:t>
            </w:r>
            <w:r w:rsidR="002F2313">
              <w:rPr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11351E" w:rsidRPr="005559F9" w:rsidRDefault="008342E0" w:rsidP="00D25683">
            <w:pPr>
              <w:rPr>
                <w:szCs w:val="24"/>
              </w:rPr>
            </w:pPr>
            <w:r>
              <w:rPr>
                <w:szCs w:val="24"/>
              </w:rPr>
              <w:t>Организация конкурса: Р</w:t>
            </w:r>
            <w:r w:rsidR="00D25683">
              <w:rPr>
                <w:szCs w:val="24"/>
              </w:rPr>
              <w:t>а</w:t>
            </w:r>
            <w:r>
              <w:rPr>
                <w:szCs w:val="24"/>
              </w:rPr>
              <w:t>зработка и публикация положения, приём заявок, формирование онлайн-выставки, обеспечение работы жюри, подготовка дипломов и призов для победителей, организация награждения.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1351E" w:rsidRPr="005559F9" w:rsidTr="006E47F5">
        <w:tc>
          <w:tcPr>
            <w:tcW w:w="4361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1351E" w:rsidRPr="005559F9" w:rsidTr="006E47F5">
        <w:tc>
          <w:tcPr>
            <w:tcW w:w="4361" w:type="dxa"/>
          </w:tcPr>
          <w:p w:rsidR="0011351E" w:rsidRPr="005559F9" w:rsidRDefault="005C3E31" w:rsidP="006E47F5">
            <w:pPr>
              <w:rPr>
                <w:szCs w:val="24"/>
              </w:rPr>
            </w:pPr>
            <w:r>
              <w:rPr>
                <w:szCs w:val="24"/>
              </w:rPr>
              <w:t>В среднем 20-50 человек участников выставки</w:t>
            </w:r>
          </w:p>
        </w:tc>
        <w:tc>
          <w:tcPr>
            <w:tcW w:w="5210" w:type="dxa"/>
          </w:tcPr>
          <w:p w:rsidR="0011351E" w:rsidRPr="005559F9" w:rsidRDefault="005C3E31" w:rsidP="006E47F5">
            <w:pPr>
              <w:rPr>
                <w:szCs w:val="24"/>
              </w:rPr>
            </w:pPr>
            <w:r>
              <w:rPr>
                <w:szCs w:val="24"/>
              </w:rPr>
              <w:t>Зрители и болельщики – от 1500 до 5 000 человек. Количество ежегодно увеличивается.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13. Краткое описание </w:t>
      </w:r>
      <w:proofErr w:type="gramStart"/>
      <w:r w:rsidRPr="005559F9">
        <w:rPr>
          <w:szCs w:val="24"/>
        </w:rPr>
        <w:t>бизнес-модели</w:t>
      </w:r>
      <w:proofErr w:type="gramEnd"/>
      <w:r w:rsidRPr="005559F9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51E" w:rsidRPr="005559F9" w:rsidTr="006E47F5">
        <w:tc>
          <w:tcPr>
            <w:tcW w:w="9571" w:type="dxa"/>
          </w:tcPr>
          <w:p w:rsidR="0011351E" w:rsidRPr="005559F9" w:rsidRDefault="005C3E31" w:rsidP="006E47F5">
            <w:pPr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>Практика не предполагает извлечения прибыли</w:t>
            </w:r>
          </w:p>
        </w:tc>
      </w:tr>
      <w:bookmarkEnd w:id="1"/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51E" w:rsidRPr="005559F9" w:rsidTr="006E47F5">
        <w:tc>
          <w:tcPr>
            <w:tcW w:w="9571" w:type="dxa"/>
          </w:tcPr>
          <w:p w:rsidR="005C3E31" w:rsidRDefault="005C3E31" w:rsidP="005C3E31">
            <w:pPr>
              <w:rPr>
                <w:szCs w:val="24"/>
              </w:rPr>
            </w:pPr>
            <w:r>
              <w:rPr>
                <w:szCs w:val="24"/>
              </w:rPr>
              <w:t xml:space="preserve">В общем виде Конкурс </w:t>
            </w:r>
            <w:proofErr w:type="gramStart"/>
            <w:r>
              <w:rPr>
                <w:szCs w:val="24"/>
              </w:rPr>
              <w:t>представляет из себя</w:t>
            </w:r>
            <w:proofErr w:type="gramEnd"/>
            <w:r>
              <w:rPr>
                <w:szCs w:val="24"/>
              </w:rPr>
              <w:t xml:space="preserve"> организацию онлайн-выставки поделок из бросового материала. На выставку </w:t>
            </w:r>
            <w:r w:rsidR="00D25683">
              <w:rPr>
                <w:szCs w:val="24"/>
              </w:rPr>
              <w:t xml:space="preserve">участниками </w:t>
            </w:r>
            <w:r>
              <w:rPr>
                <w:szCs w:val="24"/>
              </w:rPr>
              <w:t xml:space="preserve">представляется фото (или видео) работы или нескольких работ. Обязательным условием участия является описание процесса работы и материалов, которые были использованы. </w:t>
            </w:r>
            <w:proofErr w:type="gramStart"/>
            <w:r>
              <w:rPr>
                <w:szCs w:val="24"/>
              </w:rPr>
              <w:t xml:space="preserve">Формат этого описания </w:t>
            </w:r>
            <w:r>
              <w:rPr>
                <w:szCs w:val="24"/>
              </w:rPr>
              <w:lastRenderedPageBreak/>
              <w:t xml:space="preserve">варьируется от текстового до видео-ролика – творчество участников, как и в случае с самими работами, никак не ограничивается. </w:t>
            </w:r>
            <w:proofErr w:type="gramEnd"/>
          </w:p>
          <w:p w:rsidR="005C3E31" w:rsidRDefault="005C3E31" w:rsidP="005C3E31">
            <w:pPr>
              <w:rPr>
                <w:szCs w:val="24"/>
              </w:rPr>
            </w:pPr>
            <w:r>
              <w:rPr>
                <w:szCs w:val="24"/>
              </w:rPr>
              <w:t xml:space="preserve">Обычно онлайн-выставка проходит в течение нескольких недель. Всё это время зрители выбирают обладателя Приза зрительских симпатий. Жюри в это время так же выбирает победителей в </w:t>
            </w:r>
            <w:r w:rsidR="00D25683">
              <w:rPr>
                <w:szCs w:val="24"/>
              </w:rPr>
              <w:t>Номинациях, которые определены П</w:t>
            </w:r>
            <w:r>
              <w:rPr>
                <w:szCs w:val="24"/>
              </w:rPr>
              <w:t xml:space="preserve">оложением и дополняются специальными призами жюри. </w:t>
            </w:r>
          </w:p>
          <w:p w:rsidR="005C3E31" w:rsidRDefault="005C3E31" w:rsidP="005C3E31">
            <w:pPr>
              <w:rPr>
                <w:szCs w:val="24"/>
              </w:rPr>
            </w:pPr>
            <w:r>
              <w:rPr>
                <w:szCs w:val="24"/>
              </w:rPr>
              <w:t xml:space="preserve">Жюри формируется из представителей творческих профессий и руководства учреждений культуры городского округа. </w:t>
            </w:r>
          </w:p>
          <w:p w:rsidR="00D25683" w:rsidRDefault="00D25683" w:rsidP="005C3E31">
            <w:pPr>
              <w:rPr>
                <w:szCs w:val="24"/>
              </w:rPr>
            </w:pPr>
            <w:r>
              <w:rPr>
                <w:szCs w:val="24"/>
              </w:rPr>
              <w:t xml:space="preserve">После завершения работы жюри  участники и победители приглашаются к участию в одном из субботников по весенней уборке города. По окончании субботника организуется чествование  победителей и участников Конкурса. Оно проходит в непринуждённой форме и предполагает тёплое человеческое общение по итогам и офлайн-мероприятия и онлайн-выставки. </w:t>
            </w:r>
          </w:p>
          <w:p w:rsidR="00D25683" w:rsidRDefault="00D25683" w:rsidP="005C3E31">
            <w:pPr>
              <w:rPr>
                <w:szCs w:val="24"/>
              </w:rPr>
            </w:pPr>
            <w:r>
              <w:rPr>
                <w:szCs w:val="24"/>
              </w:rPr>
              <w:t xml:space="preserve">В целом, Конкурс любим в городе. Есть постоянные участники, каждый год в творческую работу по изготовлению красивого и полезного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>
              <w:rPr>
                <w:szCs w:val="24"/>
              </w:rPr>
              <w:t xml:space="preserve"> совершенно ненужного и вредного вовлекаются новые участники. Зрители с удовольствием «посещают выставочный зал» и затем приходят на субботник, чтобы поздравить участников Конкурса и поучаствовать в наведении порядка в собственном городе. </w:t>
            </w:r>
          </w:p>
          <w:p w:rsidR="00D25683" w:rsidRPr="005559F9" w:rsidRDefault="00D25683" w:rsidP="005C3E31">
            <w:pPr>
              <w:rPr>
                <w:szCs w:val="24"/>
              </w:rPr>
            </w:pP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11351E" w:rsidRPr="005559F9" w:rsidRDefault="0011351E" w:rsidP="0011351E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A954C4" w:rsidRPr="005559F9" w:rsidTr="006E47F5">
        <w:tc>
          <w:tcPr>
            <w:tcW w:w="959" w:type="dxa"/>
          </w:tcPr>
          <w:p w:rsidR="00A954C4" w:rsidRPr="005559F9" w:rsidRDefault="00A954C4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A954C4" w:rsidRPr="005559F9" w:rsidRDefault="00A954C4" w:rsidP="00D256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Публикация Положения о Конкурсе в </w:t>
            </w:r>
            <w:proofErr w:type="spellStart"/>
            <w:r>
              <w:rPr>
                <w:szCs w:val="24"/>
              </w:rPr>
              <w:t>соц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етях</w:t>
            </w:r>
            <w:proofErr w:type="spellEnd"/>
            <w:r>
              <w:rPr>
                <w:szCs w:val="24"/>
              </w:rPr>
              <w:t xml:space="preserve"> и иных информационных ресурсах.</w:t>
            </w:r>
          </w:p>
        </w:tc>
        <w:tc>
          <w:tcPr>
            <w:tcW w:w="5210" w:type="dxa"/>
            <w:vMerge w:val="restart"/>
          </w:tcPr>
          <w:p w:rsidR="00A954C4" w:rsidRPr="005559F9" w:rsidRDefault="00A954C4" w:rsidP="006E47F5">
            <w:pPr>
              <w:rPr>
                <w:szCs w:val="24"/>
              </w:rPr>
            </w:pPr>
            <w:r>
              <w:rPr>
                <w:szCs w:val="24"/>
              </w:rPr>
              <w:t>Специалисты МБУ «Городской молодёжный центр «Звёздный»</w:t>
            </w:r>
          </w:p>
        </w:tc>
      </w:tr>
      <w:tr w:rsidR="00A954C4" w:rsidRPr="005559F9" w:rsidTr="006E47F5">
        <w:tc>
          <w:tcPr>
            <w:tcW w:w="959" w:type="dxa"/>
          </w:tcPr>
          <w:p w:rsidR="00A954C4" w:rsidRPr="005559F9" w:rsidRDefault="00A954C4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A954C4" w:rsidRPr="005559F9" w:rsidRDefault="00A954C4" w:rsidP="00D256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Сбор заявок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отографий и описаний работ на электронную почту МБУ ГМЦ «Звёздный» и в сообщения специально созданного ресурса в ВК</w:t>
            </w:r>
          </w:p>
        </w:tc>
        <w:tc>
          <w:tcPr>
            <w:tcW w:w="5210" w:type="dxa"/>
            <w:vMerge/>
          </w:tcPr>
          <w:p w:rsidR="00A954C4" w:rsidRPr="005559F9" w:rsidRDefault="00A954C4" w:rsidP="006E47F5">
            <w:pPr>
              <w:rPr>
                <w:szCs w:val="24"/>
              </w:rPr>
            </w:pPr>
          </w:p>
        </w:tc>
      </w:tr>
      <w:tr w:rsidR="00A954C4" w:rsidRPr="005559F9" w:rsidTr="006E47F5">
        <w:tc>
          <w:tcPr>
            <w:tcW w:w="959" w:type="dxa"/>
          </w:tcPr>
          <w:p w:rsidR="00A954C4" w:rsidRPr="005559F9" w:rsidRDefault="00A954C4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A954C4" w:rsidRPr="005559F9" w:rsidRDefault="00A954C4" w:rsidP="00A954C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Публикация работ и описаний в «Выставочном зале» (открытие и работа онлайн-выставки»)</w:t>
            </w:r>
          </w:p>
        </w:tc>
        <w:tc>
          <w:tcPr>
            <w:tcW w:w="5210" w:type="dxa"/>
            <w:vMerge/>
          </w:tcPr>
          <w:p w:rsidR="00A954C4" w:rsidRPr="005559F9" w:rsidRDefault="00A954C4" w:rsidP="006E47F5">
            <w:pPr>
              <w:rPr>
                <w:szCs w:val="24"/>
              </w:rPr>
            </w:pPr>
          </w:p>
        </w:tc>
      </w:tr>
      <w:tr w:rsidR="00A954C4" w:rsidRPr="005559F9" w:rsidTr="006E47F5">
        <w:tc>
          <w:tcPr>
            <w:tcW w:w="959" w:type="dxa"/>
          </w:tcPr>
          <w:p w:rsidR="00A954C4" w:rsidRPr="005559F9" w:rsidRDefault="00A954C4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A954C4" w:rsidRPr="005559F9" w:rsidRDefault="00A954C4" w:rsidP="00A954C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жюри и организация их работы.</w:t>
            </w:r>
          </w:p>
        </w:tc>
        <w:tc>
          <w:tcPr>
            <w:tcW w:w="5210" w:type="dxa"/>
            <w:vMerge/>
          </w:tcPr>
          <w:p w:rsidR="00A954C4" w:rsidRPr="005559F9" w:rsidRDefault="00A954C4" w:rsidP="006E47F5">
            <w:pPr>
              <w:rPr>
                <w:szCs w:val="24"/>
              </w:rPr>
            </w:pPr>
          </w:p>
        </w:tc>
      </w:tr>
      <w:tr w:rsidR="00A954C4" w:rsidRPr="005559F9" w:rsidTr="006E47F5">
        <w:tc>
          <w:tcPr>
            <w:tcW w:w="959" w:type="dxa"/>
          </w:tcPr>
          <w:p w:rsidR="00A954C4" w:rsidRPr="005559F9" w:rsidRDefault="00A954C4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A954C4" w:rsidRPr="005559F9" w:rsidRDefault="00A954C4" w:rsidP="00A954C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Приобретение призов и </w:t>
            </w:r>
            <w:r>
              <w:rPr>
                <w:szCs w:val="24"/>
              </w:rPr>
              <w:lastRenderedPageBreak/>
              <w:t>печать дипломов</w:t>
            </w:r>
          </w:p>
        </w:tc>
        <w:tc>
          <w:tcPr>
            <w:tcW w:w="5210" w:type="dxa"/>
            <w:vMerge/>
          </w:tcPr>
          <w:p w:rsidR="00A954C4" w:rsidRPr="005559F9" w:rsidRDefault="00A954C4" w:rsidP="006E47F5">
            <w:pPr>
              <w:rPr>
                <w:szCs w:val="24"/>
              </w:rPr>
            </w:pPr>
          </w:p>
        </w:tc>
      </w:tr>
      <w:tr w:rsidR="00A954C4" w:rsidRPr="005559F9" w:rsidTr="006E47F5">
        <w:tc>
          <w:tcPr>
            <w:tcW w:w="959" w:type="dxa"/>
          </w:tcPr>
          <w:p w:rsidR="00A954C4" w:rsidRPr="005559F9" w:rsidRDefault="00A954C4" w:rsidP="006E47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A954C4" w:rsidRPr="005559F9" w:rsidRDefault="00A954C4" w:rsidP="00A954C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церемонии награждения</w:t>
            </w:r>
          </w:p>
        </w:tc>
        <w:tc>
          <w:tcPr>
            <w:tcW w:w="5210" w:type="dxa"/>
            <w:vMerge/>
          </w:tcPr>
          <w:p w:rsidR="00A954C4" w:rsidRPr="005559F9" w:rsidRDefault="00A954C4" w:rsidP="006E47F5">
            <w:pPr>
              <w:rPr>
                <w:szCs w:val="24"/>
              </w:rPr>
            </w:pP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11351E" w:rsidRPr="005559F9" w:rsidRDefault="0011351E" w:rsidP="0011351E">
      <w:pPr>
        <w:ind w:firstLine="0"/>
        <w:rPr>
          <w:i/>
          <w:szCs w:val="24"/>
        </w:rPr>
      </w:pPr>
      <w:proofErr w:type="gramStart"/>
      <w:r w:rsidRPr="005559F9">
        <w:rPr>
          <w:i/>
          <w:szCs w:val="24"/>
        </w:rPr>
        <w:t>Принятые</w:t>
      </w:r>
      <w:proofErr w:type="gramEnd"/>
      <w:r w:rsidRPr="005559F9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1351E" w:rsidRPr="005559F9" w:rsidRDefault="00A954C4" w:rsidP="006E47F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5210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</w:tr>
    </w:tbl>
    <w:p w:rsidR="0011351E" w:rsidRPr="005559F9" w:rsidRDefault="0011351E" w:rsidP="0011351E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11351E" w:rsidRPr="005559F9" w:rsidTr="006E47F5">
        <w:tc>
          <w:tcPr>
            <w:tcW w:w="959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11351E" w:rsidRPr="005559F9" w:rsidRDefault="00A954C4" w:rsidP="006E47F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1351E" w:rsidRPr="005559F9" w:rsidTr="006E47F5">
        <w:tc>
          <w:tcPr>
            <w:tcW w:w="817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A954C4" w:rsidRPr="005559F9" w:rsidTr="006E47F5">
        <w:tc>
          <w:tcPr>
            <w:tcW w:w="817" w:type="dxa"/>
          </w:tcPr>
          <w:p w:rsidR="00A954C4" w:rsidRPr="005559F9" w:rsidRDefault="00A954C4" w:rsidP="006E47F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A954C4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2F2313">
              <w:rPr>
                <w:szCs w:val="24"/>
              </w:rPr>
              <w:t>лектронн</w:t>
            </w:r>
            <w:r>
              <w:rPr>
                <w:szCs w:val="24"/>
              </w:rPr>
              <w:t>ый</w:t>
            </w:r>
            <w:r w:rsidR="002F2313">
              <w:rPr>
                <w:szCs w:val="24"/>
              </w:rPr>
              <w:t xml:space="preserve"> ресурс (группа в ВК или иное)</w:t>
            </w:r>
          </w:p>
        </w:tc>
        <w:tc>
          <w:tcPr>
            <w:tcW w:w="5068" w:type="dxa"/>
          </w:tcPr>
          <w:p w:rsidR="00A954C4" w:rsidRPr="005559F9" w:rsidRDefault="002F2313" w:rsidP="006E47F5">
            <w:pPr>
              <w:rPr>
                <w:szCs w:val="24"/>
              </w:rPr>
            </w:pPr>
            <w:r>
              <w:rPr>
                <w:szCs w:val="24"/>
              </w:rPr>
              <w:t>Для организации онлайн-выставки</w:t>
            </w:r>
          </w:p>
        </w:tc>
      </w:tr>
      <w:tr w:rsidR="00A954C4" w:rsidRPr="005559F9" w:rsidTr="006E47F5">
        <w:tc>
          <w:tcPr>
            <w:tcW w:w="817" w:type="dxa"/>
          </w:tcPr>
          <w:p w:rsidR="00A954C4" w:rsidRPr="005559F9" w:rsidRDefault="00A954C4" w:rsidP="006E47F5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A954C4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F2313">
              <w:rPr>
                <w:szCs w:val="24"/>
              </w:rPr>
              <w:t>риз</w:t>
            </w:r>
            <w:r>
              <w:rPr>
                <w:szCs w:val="24"/>
              </w:rPr>
              <w:t>ы (наборы для творчества)</w:t>
            </w:r>
          </w:p>
        </w:tc>
        <w:tc>
          <w:tcPr>
            <w:tcW w:w="5068" w:type="dxa"/>
          </w:tcPr>
          <w:p w:rsidR="00A954C4" w:rsidRPr="005559F9" w:rsidRDefault="002F2313" w:rsidP="006E47F5">
            <w:pPr>
              <w:rPr>
                <w:szCs w:val="24"/>
              </w:rPr>
            </w:pPr>
            <w:r>
              <w:rPr>
                <w:szCs w:val="24"/>
              </w:rPr>
              <w:t>Для награждения победителей</w:t>
            </w:r>
          </w:p>
        </w:tc>
      </w:tr>
      <w:tr w:rsidR="0011351E" w:rsidRPr="005559F9" w:rsidTr="006E47F5">
        <w:tc>
          <w:tcPr>
            <w:tcW w:w="817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11351E" w:rsidRPr="005559F9" w:rsidRDefault="002F2313" w:rsidP="002F231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Инвентарь, перчатки, всё для чаепития, звукоусиливающая аппаратура, столы.</w:t>
            </w:r>
          </w:p>
        </w:tc>
        <w:tc>
          <w:tcPr>
            <w:tcW w:w="5068" w:type="dxa"/>
          </w:tcPr>
          <w:p w:rsidR="0011351E" w:rsidRPr="005559F9" w:rsidRDefault="002F2313" w:rsidP="006E47F5">
            <w:pPr>
              <w:rPr>
                <w:szCs w:val="24"/>
              </w:rPr>
            </w:pPr>
            <w:r>
              <w:rPr>
                <w:szCs w:val="24"/>
              </w:rPr>
              <w:t xml:space="preserve">Для организации церемонии награждения под открытым небом. </w:t>
            </w: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11351E" w:rsidRPr="005559F9" w:rsidTr="006E47F5">
        <w:tc>
          <w:tcPr>
            <w:tcW w:w="675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1351E" w:rsidRPr="005559F9" w:rsidTr="006E47F5">
        <w:tc>
          <w:tcPr>
            <w:tcW w:w="675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11351E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Жители </w:t>
            </w:r>
            <w:proofErr w:type="spellStart"/>
            <w:r>
              <w:rPr>
                <w:szCs w:val="24"/>
              </w:rPr>
              <w:t>Удомельского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11351E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Повышение экологической культуры населения, развитие навыков осознанного потребления, увеличение количества жителей округа, осознанно относящихся к вопросам и проблемам формирования комфортной городской среды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11351E" w:rsidRPr="005559F9" w:rsidTr="006E47F5">
        <w:tc>
          <w:tcPr>
            <w:tcW w:w="675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11351E" w:rsidRPr="005559F9" w:rsidTr="006E47F5">
        <w:tc>
          <w:tcPr>
            <w:tcW w:w="675" w:type="dxa"/>
          </w:tcPr>
          <w:p w:rsidR="0011351E" w:rsidRPr="005559F9" w:rsidRDefault="0011351E" w:rsidP="006E47F5">
            <w:pPr>
              <w:rPr>
                <w:szCs w:val="24"/>
              </w:rPr>
            </w:pPr>
            <w:r w:rsidRPr="005559F9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11351E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Призы в количестве 4 – 8 наименований</w:t>
            </w:r>
          </w:p>
        </w:tc>
        <w:tc>
          <w:tcPr>
            <w:tcW w:w="3143" w:type="dxa"/>
          </w:tcPr>
          <w:p w:rsidR="0011351E" w:rsidRPr="005559F9" w:rsidRDefault="00BE0D0A" w:rsidP="006E47F5">
            <w:pPr>
              <w:rPr>
                <w:szCs w:val="24"/>
              </w:rPr>
            </w:pPr>
            <w:r>
              <w:rPr>
                <w:szCs w:val="24"/>
              </w:rPr>
              <w:t>5 000 – 10 000 руб.</w:t>
            </w:r>
          </w:p>
        </w:tc>
        <w:tc>
          <w:tcPr>
            <w:tcW w:w="3768" w:type="dxa"/>
          </w:tcPr>
          <w:p w:rsidR="0011351E" w:rsidRPr="005559F9" w:rsidRDefault="00BE0D0A" w:rsidP="006E47F5">
            <w:pPr>
              <w:rPr>
                <w:szCs w:val="24"/>
              </w:rPr>
            </w:pPr>
            <w:r>
              <w:rPr>
                <w:szCs w:val="24"/>
              </w:rPr>
              <w:t>Бюджет МБУ ГМЦ «Звёздный»</w:t>
            </w:r>
          </w:p>
        </w:tc>
      </w:tr>
      <w:tr w:rsidR="00BE0D0A" w:rsidRPr="005559F9" w:rsidTr="006E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  <w:r w:rsidRPr="005559F9">
              <w:rPr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Обеспечение чаепития: разовая посуда, </w:t>
            </w:r>
            <w:r>
              <w:rPr>
                <w:szCs w:val="24"/>
              </w:rPr>
              <w:lastRenderedPageBreak/>
              <w:t>чай, сахар, печенье, конфеты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3 000 руб.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  <w:r>
              <w:rPr>
                <w:szCs w:val="24"/>
              </w:rPr>
              <w:t>Бюджет МБУ ГМЦ «Звёздный»</w:t>
            </w:r>
          </w:p>
        </w:tc>
      </w:tr>
      <w:tr w:rsidR="00BE0D0A" w:rsidRPr="005559F9" w:rsidTr="006E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  <w:r w:rsidRPr="005559F9">
              <w:rPr>
                <w:szCs w:val="24"/>
              </w:rPr>
              <w:lastRenderedPageBreak/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BE0D0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Транспортные расходы, связанные с организацией субботника и награждения победителей конкурса.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DD2528" w:rsidP="00DD2528">
            <w:pPr>
              <w:rPr>
                <w:szCs w:val="24"/>
              </w:rPr>
            </w:pPr>
            <w:r>
              <w:rPr>
                <w:szCs w:val="24"/>
              </w:rPr>
              <w:t xml:space="preserve">Бюджет МБУ ГМЦ «Звёздный» или Администрации </w:t>
            </w:r>
            <w:proofErr w:type="spellStart"/>
            <w:r>
              <w:rPr>
                <w:szCs w:val="24"/>
              </w:rPr>
              <w:t>Удомельского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BE0D0A" w:rsidRPr="005559F9" w:rsidTr="00BE0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  <w:r w:rsidRPr="005559F9">
              <w:rPr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вывоза мусора после субботника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Pr="005559F9" w:rsidRDefault="00BE0D0A" w:rsidP="006E47F5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Обеспечивается Администрацией </w:t>
            </w:r>
            <w:proofErr w:type="spellStart"/>
            <w:r>
              <w:rPr>
                <w:szCs w:val="24"/>
              </w:rPr>
              <w:t>Удомельского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51E" w:rsidRPr="005559F9" w:rsidTr="006E47F5">
        <w:tc>
          <w:tcPr>
            <w:tcW w:w="9571" w:type="dxa"/>
          </w:tcPr>
          <w:p w:rsidR="0011351E" w:rsidRPr="005559F9" w:rsidRDefault="00DD2528" w:rsidP="006E47F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Конкурс направлен на изменения общественного сознания, способствующие в дальней перспективе формированию экологической культуры и осознанного отношения к формированию комфортной городской среды, личной ответственности за место, где человек живёт.</w:t>
            </w:r>
            <w:proofErr w:type="gramEnd"/>
            <w:r>
              <w:rPr>
                <w:szCs w:val="24"/>
              </w:rPr>
              <w:t xml:space="preserve"> Подобного рода изменения можно отследить только путём социологических исследований, которые МБУ ГМЦ «Звёздный» не проводит. Если судить по количеству людей, заинтересованных в участии, то ежегодно оно увеличивается примерно на 20%. 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1351E" w:rsidRPr="005559F9" w:rsidTr="006E47F5">
        <w:tc>
          <w:tcPr>
            <w:tcW w:w="9605" w:type="dxa"/>
          </w:tcPr>
          <w:p w:rsidR="0011351E" w:rsidRPr="005559F9" w:rsidRDefault="00DD2528" w:rsidP="006E47F5">
            <w:pPr>
              <w:rPr>
                <w:szCs w:val="24"/>
              </w:rPr>
            </w:pPr>
            <w:r>
              <w:rPr>
                <w:szCs w:val="24"/>
              </w:rPr>
              <w:t xml:space="preserve">Лидером проекта является Аэлита Олеговна Кузьмина – </w:t>
            </w:r>
            <w:proofErr w:type="spellStart"/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иректора</w:t>
            </w:r>
            <w:proofErr w:type="spellEnd"/>
            <w:r>
              <w:rPr>
                <w:szCs w:val="24"/>
              </w:rPr>
              <w:t xml:space="preserve"> МБУ ГИЦ «Звёздный». Специалист высшей квалификации в сфере организации мероприятий.</w:t>
            </w:r>
          </w:p>
        </w:tc>
      </w:tr>
    </w:tbl>
    <w:p w:rsidR="0011351E" w:rsidRPr="005559F9" w:rsidRDefault="0011351E" w:rsidP="0011351E">
      <w:pPr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11351E" w:rsidRPr="005559F9" w:rsidRDefault="0011351E" w:rsidP="0011351E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516"/>
        <w:gridCol w:w="3409"/>
      </w:tblGrid>
      <w:tr w:rsidR="0011351E" w:rsidRPr="005559F9" w:rsidTr="006E47F5">
        <w:tc>
          <w:tcPr>
            <w:tcW w:w="709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11351E" w:rsidRPr="005559F9" w:rsidTr="006E47F5">
        <w:tc>
          <w:tcPr>
            <w:tcW w:w="709" w:type="dxa"/>
          </w:tcPr>
          <w:p w:rsidR="0011351E" w:rsidRPr="005559F9" w:rsidRDefault="0011351E" w:rsidP="006E47F5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11351E" w:rsidRPr="005559F9" w:rsidRDefault="00421E62" w:rsidP="006E47F5">
            <w:pPr>
              <w:rPr>
                <w:szCs w:val="24"/>
              </w:rPr>
            </w:pPr>
            <w:r>
              <w:rPr>
                <w:szCs w:val="24"/>
              </w:rPr>
              <w:t>Выставочный зал МБУ ГМЦ «Звёздный»</w:t>
            </w:r>
          </w:p>
        </w:tc>
        <w:tc>
          <w:tcPr>
            <w:tcW w:w="2920" w:type="dxa"/>
          </w:tcPr>
          <w:p w:rsidR="0011351E" w:rsidRPr="005559F9" w:rsidRDefault="00DD2528" w:rsidP="00421E62">
            <w:pPr>
              <w:ind w:firstLine="0"/>
              <w:rPr>
                <w:szCs w:val="24"/>
              </w:rPr>
            </w:pPr>
            <w:r w:rsidRPr="00DD2528">
              <w:rPr>
                <w:szCs w:val="24"/>
              </w:rPr>
              <w:t>https://vk.com/zvezdniy_vistavki</w:t>
            </w:r>
          </w:p>
        </w:tc>
      </w:tr>
    </w:tbl>
    <w:p w:rsidR="0011351E" w:rsidRPr="005559F9" w:rsidRDefault="0011351E" w:rsidP="0011351E">
      <w:pPr>
        <w:ind w:firstLine="0"/>
        <w:rPr>
          <w:szCs w:val="24"/>
        </w:rPr>
      </w:pPr>
    </w:p>
    <w:p w:rsidR="0011351E" w:rsidRPr="005559F9" w:rsidRDefault="0011351E" w:rsidP="0011351E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11351E" w:rsidRPr="005559F9" w:rsidTr="006E47F5">
        <w:tc>
          <w:tcPr>
            <w:tcW w:w="709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proofErr w:type="gramStart"/>
            <w:r w:rsidRPr="005559F9">
              <w:rPr>
                <w:szCs w:val="24"/>
              </w:rPr>
              <w:t>Ответственный</w:t>
            </w:r>
            <w:proofErr w:type="gramEnd"/>
            <w:r w:rsidRPr="005559F9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11351E" w:rsidRPr="005559F9" w:rsidRDefault="0011351E" w:rsidP="006E47F5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11351E" w:rsidRPr="005559F9" w:rsidTr="006E47F5">
        <w:tc>
          <w:tcPr>
            <w:tcW w:w="709" w:type="dxa"/>
          </w:tcPr>
          <w:p w:rsidR="0011351E" w:rsidRPr="005559F9" w:rsidRDefault="0011351E" w:rsidP="006E47F5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11351E" w:rsidRPr="005559F9" w:rsidRDefault="00421E62" w:rsidP="006E47F5">
            <w:pPr>
              <w:rPr>
                <w:szCs w:val="24"/>
              </w:rPr>
            </w:pPr>
            <w:r>
              <w:rPr>
                <w:szCs w:val="24"/>
              </w:rPr>
              <w:t>Кузьмина Аэлита Олеговна</w:t>
            </w:r>
          </w:p>
        </w:tc>
        <w:tc>
          <w:tcPr>
            <w:tcW w:w="3544" w:type="dxa"/>
          </w:tcPr>
          <w:p w:rsidR="0011351E" w:rsidRPr="00421E62" w:rsidRDefault="00234347" w:rsidP="006E47F5">
            <w:pPr>
              <w:rPr>
                <w:szCs w:val="24"/>
                <w:lang w:val="en-US"/>
              </w:rPr>
            </w:pPr>
            <w:hyperlink r:id="rId5" w:history="1">
              <w:r w:rsidR="00421E62" w:rsidRPr="003012D5">
                <w:rPr>
                  <w:rStyle w:val="a3"/>
                  <w:szCs w:val="24"/>
                  <w:lang w:val="en-US"/>
                </w:rPr>
                <w:t>u_litka@bk.ru</w:t>
              </w:r>
            </w:hyperlink>
            <w:r w:rsidR="00421E62">
              <w:rPr>
                <w:szCs w:val="24"/>
                <w:lang w:val="en-US"/>
              </w:rPr>
              <w:t xml:space="preserve"> +79109364017</w:t>
            </w:r>
          </w:p>
        </w:tc>
      </w:tr>
    </w:tbl>
    <w:p w:rsidR="00F164D6" w:rsidRDefault="0011351E">
      <w:r w:rsidRPr="005559F9">
        <w:rPr>
          <w:sz w:val="26"/>
          <w:szCs w:val="26"/>
        </w:rPr>
        <w:br w:type="page"/>
      </w:r>
    </w:p>
    <w:sectPr w:rsidR="00F1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E"/>
    <w:rsid w:val="000B3D3B"/>
    <w:rsid w:val="0011351E"/>
    <w:rsid w:val="00234347"/>
    <w:rsid w:val="002F2313"/>
    <w:rsid w:val="00421E62"/>
    <w:rsid w:val="004A145A"/>
    <w:rsid w:val="005C3E31"/>
    <w:rsid w:val="005D0B93"/>
    <w:rsid w:val="0065352D"/>
    <w:rsid w:val="008342E0"/>
    <w:rsid w:val="008B041C"/>
    <w:rsid w:val="008D640E"/>
    <w:rsid w:val="00A954C4"/>
    <w:rsid w:val="00BE0D0A"/>
    <w:rsid w:val="00BF3A12"/>
    <w:rsid w:val="00D06DD4"/>
    <w:rsid w:val="00D25683"/>
    <w:rsid w:val="00DD2528"/>
    <w:rsid w:val="00E80251"/>
    <w:rsid w:val="00F1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E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E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_litk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2022-03-31T08:00:00Z</dcterms:created>
  <dcterms:modified xsi:type="dcterms:W3CDTF">2022-04-12T09:01:00Z</dcterms:modified>
</cp:coreProperties>
</file>